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195E" w14:textId="77777777" w:rsidR="00CC2328" w:rsidRDefault="00CC2328" w:rsidP="00CC2328">
      <w:pPr>
        <w:widowControl/>
        <w:suppressAutoHyphens w:val="0"/>
        <w:rPr>
          <w:sz w:val="20"/>
          <w:szCs w:val="20"/>
        </w:rPr>
      </w:pPr>
      <w:r>
        <w:rPr>
          <w:i/>
          <w:sz w:val="20"/>
          <w:szCs w:val="20"/>
        </w:rPr>
        <w:t>There were two w</w:t>
      </w:r>
      <w:r w:rsidRPr="00B05183">
        <w:rPr>
          <w:i/>
          <w:sz w:val="20"/>
          <w:szCs w:val="20"/>
        </w:rPr>
        <w:t>inner</w:t>
      </w:r>
      <w:r>
        <w:rPr>
          <w:i/>
          <w:sz w:val="20"/>
          <w:szCs w:val="20"/>
        </w:rPr>
        <w:t xml:space="preserve">s of the Charles </w:t>
      </w:r>
      <w:proofErr w:type="spellStart"/>
      <w:r>
        <w:rPr>
          <w:i/>
          <w:sz w:val="20"/>
          <w:szCs w:val="20"/>
        </w:rPr>
        <w:t>Wellbeloved</w:t>
      </w:r>
      <w:proofErr w:type="spellEnd"/>
      <w:r>
        <w:rPr>
          <w:i/>
          <w:sz w:val="20"/>
          <w:szCs w:val="20"/>
        </w:rPr>
        <w:t xml:space="preserve"> undergraduate archaeology prize in 2018:</w:t>
      </w:r>
    </w:p>
    <w:p w14:paraId="22B9EDE9" w14:textId="77777777" w:rsidR="00CC2328" w:rsidRDefault="00CC2328" w:rsidP="00CC2328">
      <w:pPr>
        <w:widowControl/>
        <w:suppressAutoHyphens w:val="0"/>
        <w:rPr>
          <w:rFonts w:eastAsia="Times New Roman" w:cs="Times New Roman"/>
          <w:b/>
          <w:kern w:val="0"/>
          <w:sz w:val="21"/>
          <w:szCs w:val="21"/>
          <w:lang w:eastAsia="en-GB" w:bidi="ar-SA"/>
        </w:rPr>
      </w:pPr>
    </w:p>
    <w:p w14:paraId="51E8D76A" w14:textId="77777777" w:rsidR="00CC2328" w:rsidRPr="00B05183" w:rsidRDefault="00CC2328" w:rsidP="00CC2328">
      <w:pPr>
        <w:widowControl/>
        <w:suppressAutoHyphens w:val="0"/>
        <w:spacing w:after="120"/>
        <w:rPr>
          <w:rFonts w:eastAsia="Times New Roman" w:cs="Times New Roman"/>
          <w:i/>
          <w:kern w:val="0"/>
          <w:sz w:val="20"/>
          <w:szCs w:val="20"/>
          <w:lang w:eastAsia="en-GB" w:bidi="ar-SA"/>
        </w:rPr>
      </w:pPr>
      <w:r w:rsidRPr="002556B3">
        <w:rPr>
          <w:rFonts w:eastAsia="Times New Roman" w:cs="Times New Roman"/>
          <w:b/>
          <w:kern w:val="0"/>
          <w:sz w:val="21"/>
          <w:szCs w:val="21"/>
          <w:lang w:eastAsia="en-GB" w:bidi="ar-SA"/>
        </w:rPr>
        <w:t xml:space="preserve">The gendered household: making space for women in the study of Islamic archaeology in </w:t>
      </w:r>
      <w:proofErr w:type="spellStart"/>
      <w:r w:rsidRPr="002556B3">
        <w:rPr>
          <w:rFonts w:eastAsia="Times New Roman" w:cs="Times New Roman"/>
          <w:b/>
          <w:kern w:val="0"/>
          <w:sz w:val="21"/>
          <w:szCs w:val="21"/>
          <w:lang w:eastAsia="en-GB" w:bidi="ar-SA"/>
        </w:rPr>
        <w:t>Quatar</w:t>
      </w:r>
      <w:proofErr w:type="spellEnd"/>
      <w:r>
        <w:rPr>
          <w:rFonts w:eastAsia="Times New Roman" w:cs="Times New Roman"/>
          <w:b/>
          <w:kern w:val="0"/>
          <w:sz w:val="22"/>
          <w:szCs w:val="22"/>
          <w:lang w:eastAsia="en-GB" w:bidi="ar-SA"/>
        </w:rPr>
        <w:t xml:space="preserve"> </w:t>
      </w:r>
      <w:r w:rsidRPr="00B05183">
        <w:rPr>
          <w:rFonts w:eastAsia="Times New Roman" w:cs="Times New Roman"/>
          <w:i/>
          <w:kern w:val="0"/>
          <w:sz w:val="20"/>
          <w:szCs w:val="20"/>
          <w:lang w:eastAsia="en-GB" w:bidi="ar-SA"/>
        </w:rPr>
        <w:t>Elizabeth Hicks</w:t>
      </w:r>
    </w:p>
    <w:p w14:paraId="6C9CDA31" w14:textId="77777777" w:rsidR="00CC2328" w:rsidRDefault="00CC2328" w:rsidP="00CC232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en-GB" w:bidi="ar-SA"/>
        </w:rPr>
      </w:pPr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>The work of feminist scholars within western archaeology has established that gender is an important component of a person’s social life. When the focus shifts to the archaeological literature of the Arabian Gulf, the narrative</w:t>
      </w:r>
      <w:r>
        <w:rPr>
          <w:rFonts w:eastAsia="Times New Roman" w:cs="Times New Roman"/>
          <w:kern w:val="0"/>
          <w:sz w:val="20"/>
          <w:szCs w:val="20"/>
          <w:lang w:eastAsia="en-GB" w:bidi="ar-SA"/>
        </w:rPr>
        <w:t>s</w:t>
      </w:r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 xml:space="preserve"> of women’s lives are lost. This research examines evidence from recent excavations of domestic compounds at three key sites in Qatar: </w:t>
      </w:r>
      <w:proofErr w:type="spellStart"/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>Fuwairit</w:t>
      </w:r>
      <w:proofErr w:type="spellEnd"/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 xml:space="preserve">, </w:t>
      </w:r>
      <w:proofErr w:type="spellStart"/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>Furayḥah</w:t>
      </w:r>
      <w:proofErr w:type="spellEnd"/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 xml:space="preserve"> and Al-</w:t>
      </w:r>
      <w:proofErr w:type="spellStart"/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>Zubārah</w:t>
      </w:r>
      <w:proofErr w:type="spellEnd"/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 xml:space="preserve">. This dissertation aims to uncover the activities and roles of women at these sites from the eighteenth to early-twentieth century. The findings </w:t>
      </w:r>
      <w:r>
        <w:rPr>
          <w:rFonts w:eastAsia="Times New Roman" w:cs="Times New Roman"/>
          <w:kern w:val="0"/>
          <w:sz w:val="20"/>
          <w:szCs w:val="20"/>
          <w:lang w:eastAsia="en-GB" w:bidi="ar-SA"/>
        </w:rPr>
        <w:t xml:space="preserve">of </w:t>
      </w:r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 xml:space="preserve">this </w:t>
      </w:r>
      <w:r>
        <w:rPr>
          <w:rFonts w:eastAsia="Times New Roman" w:cs="Times New Roman"/>
          <w:kern w:val="0"/>
          <w:sz w:val="20"/>
          <w:szCs w:val="20"/>
          <w:lang w:eastAsia="en-GB" w:bidi="ar-SA"/>
        </w:rPr>
        <w:t>research</w:t>
      </w:r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 xml:space="preserve"> suggest that</w:t>
      </w:r>
      <w:r>
        <w:rPr>
          <w:rFonts w:eastAsia="Times New Roman" w:cs="Times New Roman"/>
          <w:kern w:val="0"/>
          <w:sz w:val="20"/>
          <w:szCs w:val="20"/>
          <w:lang w:eastAsia="en-GB" w:bidi="ar-SA"/>
        </w:rPr>
        <w:t>,</w:t>
      </w:r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 xml:space="preserve"> through synthesising historical, ethnographic and archaeological research</w:t>
      </w:r>
      <w:r>
        <w:rPr>
          <w:rFonts w:eastAsia="Times New Roman" w:cs="Times New Roman"/>
          <w:kern w:val="0"/>
          <w:sz w:val="20"/>
          <w:szCs w:val="20"/>
          <w:lang w:eastAsia="en-GB" w:bidi="ar-SA"/>
        </w:rPr>
        <w:t>,</w:t>
      </w:r>
      <w:r w:rsidRPr="00B05183">
        <w:rPr>
          <w:rFonts w:eastAsia="Times New Roman" w:cs="Times New Roman"/>
          <w:kern w:val="0"/>
          <w:sz w:val="20"/>
          <w:szCs w:val="20"/>
          <w:lang w:eastAsia="en-GB" w:bidi="ar-SA"/>
        </w:rPr>
        <w:t xml:space="preserve"> it is possible not only to envisage the presence of women, but also to explore the processes which create gender identity in Qatar.</w:t>
      </w:r>
    </w:p>
    <w:p w14:paraId="586B7E17" w14:textId="77777777" w:rsidR="00CC2328" w:rsidRDefault="00CC2328" w:rsidP="00CC2328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en-GB" w:bidi="ar-SA"/>
        </w:rPr>
      </w:pPr>
    </w:p>
    <w:p w14:paraId="2ED10E99" w14:textId="77777777" w:rsidR="00CC2328" w:rsidRPr="002556B3" w:rsidRDefault="00CC2328" w:rsidP="00CC2328">
      <w:pPr>
        <w:widowControl/>
        <w:suppressAutoHyphens w:val="0"/>
        <w:spacing w:after="120"/>
        <w:rPr>
          <w:sz w:val="21"/>
          <w:szCs w:val="21"/>
        </w:rPr>
      </w:pPr>
      <w:r w:rsidRPr="002556B3">
        <w:rPr>
          <w:b/>
          <w:sz w:val="21"/>
          <w:szCs w:val="21"/>
        </w:rPr>
        <w:t xml:space="preserve">Frailty and periosteal reactions: a study of periosteal lesion activity and dental enamel hypoplasia trends at St James’ Abbey, Northampton, </w:t>
      </w:r>
      <w:r w:rsidRPr="002556B3">
        <w:rPr>
          <w:i/>
          <w:sz w:val="21"/>
          <w:szCs w:val="21"/>
        </w:rPr>
        <w:t xml:space="preserve">Evy </w:t>
      </w:r>
      <w:proofErr w:type="spellStart"/>
      <w:r w:rsidRPr="002556B3">
        <w:rPr>
          <w:i/>
          <w:sz w:val="21"/>
          <w:szCs w:val="21"/>
        </w:rPr>
        <w:t>Rousham</w:t>
      </w:r>
      <w:proofErr w:type="spellEnd"/>
    </w:p>
    <w:p w14:paraId="2529E00C" w14:textId="77777777" w:rsidR="00CC2328" w:rsidRDefault="00CC2328" w:rsidP="00CC2328">
      <w:pPr>
        <w:spacing w:after="120"/>
        <w:jc w:val="both"/>
        <w:rPr>
          <w:rFonts w:eastAsia="Times New Roman" w:cs="Times New Roman"/>
          <w:sz w:val="20"/>
          <w:szCs w:val="20"/>
          <w:lang w:eastAsia="en-GB"/>
        </w:rPr>
      </w:pPr>
      <w:r w:rsidRPr="00030BB3">
        <w:rPr>
          <w:rFonts w:eastAsia="Times New Roman" w:cs="Times New Roman"/>
          <w:sz w:val="20"/>
          <w:szCs w:val="20"/>
          <w:lang w:eastAsia="en-GB"/>
        </w:rPr>
        <w:t>A sample of 30 adult male skeletons was analysed for periosteal lesions, dental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030BB3">
        <w:rPr>
          <w:rFonts w:eastAsia="Times New Roman" w:cs="Times New Roman"/>
          <w:sz w:val="20"/>
          <w:szCs w:val="20"/>
          <w:lang w:eastAsia="en-GB"/>
        </w:rPr>
        <w:t>enamel hypoplasia (DEH), stature and age at death. This study aimed to improve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030BB3">
        <w:rPr>
          <w:rFonts w:eastAsia="Times New Roman" w:cs="Times New Roman"/>
          <w:sz w:val="20"/>
          <w:szCs w:val="20"/>
          <w:lang w:eastAsia="en-GB"/>
        </w:rPr>
        <w:t>understanding of the complex relationships between periosteal lesion activity and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030BB3">
        <w:rPr>
          <w:rFonts w:eastAsia="Times New Roman" w:cs="Times New Roman"/>
          <w:sz w:val="20"/>
          <w:szCs w:val="20"/>
          <w:lang w:eastAsia="en-GB"/>
        </w:rPr>
        <w:t xml:space="preserve">frailty, following the work of </w:t>
      </w:r>
      <w:proofErr w:type="spellStart"/>
      <w:r w:rsidRPr="00030BB3">
        <w:rPr>
          <w:rFonts w:eastAsia="Times New Roman" w:cs="Times New Roman"/>
          <w:sz w:val="20"/>
          <w:szCs w:val="20"/>
          <w:lang w:eastAsia="en-GB"/>
        </w:rPr>
        <w:t>DeWitte</w:t>
      </w:r>
      <w:proofErr w:type="spellEnd"/>
      <w:r w:rsidRPr="00030BB3">
        <w:rPr>
          <w:rFonts w:eastAsia="Times New Roman" w:cs="Times New Roman"/>
          <w:sz w:val="20"/>
          <w:szCs w:val="20"/>
          <w:lang w:eastAsia="en-GB"/>
        </w:rPr>
        <w:t xml:space="preserve"> (2014). The results do not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030BB3">
        <w:rPr>
          <w:rFonts w:eastAsia="Times New Roman" w:cs="Times New Roman"/>
          <w:sz w:val="20"/>
          <w:szCs w:val="20"/>
          <w:lang w:eastAsia="en-GB"/>
        </w:rPr>
        <w:t>indicate a statistically significant relationship between age at death and periosteal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030BB3">
        <w:rPr>
          <w:rFonts w:eastAsia="Times New Roman" w:cs="Times New Roman"/>
          <w:sz w:val="20"/>
          <w:szCs w:val="20"/>
          <w:lang w:eastAsia="en-GB"/>
        </w:rPr>
        <w:t xml:space="preserve">lesion activity, or a </w:t>
      </w:r>
      <w:r>
        <w:rPr>
          <w:rFonts w:eastAsia="Times New Roman" w:cs="Times New Roman"/>
          <w:sz w:val="20"/>
          <w:szCs w:val="20"/>
          <w:lang w:eastAsia="en-GB"/>
        </w:rPr>
        <w:t>r</w:t>
      </w:r>
      <w:r w:rsidRPr="00030BB3">
        <w:rPr>
          <w:rFonts w:eastAsia="Times New Roman" w:cs="Times New Roman"/>
          <w:sz w:val="20"/>
          <w:szCs w:val="20"/>
          <w:lang w:eastAsia="en-GB"/>
        </w:rPr>
        <w:t xml:space="preserve">elationship between periosteal lesions and DEH. However, </w:t>
      </w:r>
      <w:r>
        <w:rPr>
          <w:rFonts w:eastAsia="Times New Roman" w:cs="Times New Roman"/>
          <w:sz w:val="20"/>
          <w:szCs w:val="20"/>
          <w:lang w:eastAsia="en-GB"/>
        </w:rPr>
        <w:t>it</w:t>
      </w:r>
      <w:r w:rsidRPr="00030BB3">
        <w:rPr>
          <w:rFonts w:eastAsia="Times New Roman" w:cs="Times New Roman"/>
          <w:sz w:val="20"/>
          <w:szCs w:val="20"/>
          <w:lang w:eastAsia="en-GB"/>
        </w:rPr>
        <w:t xml:space="preserve"> has demonstrated the value of studying the presence, activity and severity of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030BB3">
        <w:rPr>
          <w:rFonts w:eastAsia="Times New Roman" w:cs="Times New Roman"/>
          <w:sz w:val="20"/>
          <w:szCs w:val="20"/>
          <w:lang w:eastAsia="en-GB"/>
        </w:rPr>
        <w:t>periosteal lesions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030BB3">
        <w:rPr>
          <w:rFonts w:eastAsia="Times New Roman" w:cs="Times New Roman"/>
          <w:sz w:val="20"/>
          <w:szCs w:val="20"/>
          <w:lang w:eastAsia="en-GB"/>
        </w:rPr>
        <w:t>when attempting to interpret frailty and mortality in past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030BB3">
        <w:rPr>
          <w:rFonts w:eastAsia="Times New Roman" w:cs="Times New Roman"/>
          <w:sz w:val="20"/>
          <w:szCs w:val="20"/>
          <w:lang w:eastAsia="en-GB"/>
        </w:rPr>
        <w:t>populations.</w:t>
      </w:r>
    </w:p>
    <w:p w14:paraId="699EC97C" w14:textId="77777777" w:rsidR="00B81C41" w:rsidRDefault="00CC2328"/>
    <w:sectPr w:rsidR="00B81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28"/>
    <w:rsid w:val="00255567"/>
    <w:rsid w:val="00CC2328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3BD4"/>
  <w15:chartTrackingRefBased/>
  <w15:docId w15:val="{7CAE4E46-044D-4071-9551-2FD9CBCE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Smith</dc:creator>
  <cp:keywords/>
  <dc:description/>
  <cp:lastModifiedBy>Carole Smith</cp:lastModifiedBy>
  <cp:revision>1</cp:revision>
  <dcterms:created xsi:type="dcterms:W3CDTF">2021-03-26T11:53:00Z</dcterms:created>
  <dcterms:modified xsi:type="dcterms:W3CDTF">2021-03-26T11:53:00Z</dcterms:modified>
</cp:coreProperties>
</file>